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10" w:history="1">
        <w:r>
          <w:rPr>
            <w:rFonts w:ascii="Arial" w:hAnsi="Arial" w:eastAsia="Arial" w:cs="Arial"/>
            <w:color w:val="155CAA"/>
            <w:u w:val="single"/>
          </w:rPr>
          <w:t xml:space="preserve">1 Lbr VNG, 18-074, Afspraken Wnra bij gemeenten, zaaknr 593457, 20181126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10"/>
      <w:r w:rsidRPr="00A448AC">
        <w:rPr>
          <w:rFonts w:ascii="Arial" w:hAnsi="Arial" w:cs="Arial"/>
          <w:b/>
          <w:bCs/>
          <w:color w:val="303F4C"/>
          <w:lang w:val="en-US"/>
        </w:rPr>
        <w:t>Lbr VNG, 18-074, Afspraken Wnra bij gemeenten, zaaknr 593457, 20181126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Anders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18-074, Afspraken Wnra bij gemeenten, zaaknr 593457, 20181126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anders/Lbr-VNG-18-074-Afspraken-Wnra-bij-gemeenten-zaaknr-593457-2018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