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8" w:history="1">
        <w:r>
          <w:rPr>
            <w:rFonts w:ascii="Arial" w:hAnsi="Arial" w:eastAsia="Arial" w:cs="Arial"/>
            <w:color w:val="155CAA"/>
            <w:u w:val="single"/>
          </w:rPr>
          <w:t xml:space="preserve">1 Lbr VNG, 18-018, FLO-overgangsrecht: nieuwe ronde aanleveren gegevens levensloopstorting, 15 mei 2018, zaaknr. 583395, 20180517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8"/>
      <w:r w:rsidRPr="00A448AC">
        <w:rPr>
          <w:rFonts w:ascii="Arial" w:hAnsi="Arial" w:cs="Arial"/>
          <w:b/>
          <w:bCs/>
          <w:color w:val="303F4C"/>
          <w:lang w:val="en-US"/>
        </w:rPr>
        <w:t>Lbr VNG, 18-018, FLO-overgangsrecht: nieuwe ronde aanleveren gegevens levensloopstorting, 15 mei 2018, zaaknr. 583395, 20180517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18-018, FLO-overgangsrecht nieuwe ronde aanleveren gegevens levensloopstorting, 15 mei 2018, zaaknr. 583395, 20180517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br-VNG-18-018-FLO-overgangsrecht-nieuwe-ronde-aanleveren-gegevens-levensloopstorting-15-mei-2018-zaaknr-583395-2018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