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4" w:history="1">
        <w:r>
          <w:rPr>
            <w:rFonts w:ascii="Arial" w:hAnsi="Arial" w:eastAsia="Arial" w:cs="Arial"/>
            <w:color w:val="155CAA"/>
            <w:u w:val="single"/>
          </w:rPr>
          <w:t xml:space="preserve">1 LOGA, 18-013, Compensatieregeling AOW op grond van reparatie FLO-overgangsrecht, 9 april 2018, zaaknr. 581250, 20180416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4"/>
      <w:r w:rsidRPr="00A448AC">
        <w:rPr>
          <w:rFonts w:ascii="Arial" w:hAnsi="Arial" w:cs="Arial"/>
          <w:b/>
          <w:bCs/>
          <w:color w:val="303F4C"/>
          <w:lang w:val="en-US"/>
        </w:rPr>
        <w:t>LOGA, 18-013, Compensatieregeling AOW op grond van reparatie FLO-overgangsrecht, 9 april 2018, zaaknr. 581250,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18-013, Compensatieregeling AOW op grond van reparatie FLO-overgangsrecht, 9 april 2018, zaaknr. 581250,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LOGA-18-013-Compensatieregeling-AOW-op-grond-van-reparatie-FLO-overgangsrecht-9-april-2018-zaaknr-581250-2018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