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219" w:history="1">
        <w:r>
          <w:rPr>
            <w:rFonts w:ascii="Arial" w:hAnsi="Arial" w:eastAsia="Arial" w:cs="Arial"/>
            <w:color w:val="155CAA"/>
            <w:u w:val="single"/>
          </w:rPr>
          <w:t xml:space="preserve">1 Brf PCO-Nieuwleusen, Voorgenomen bezuiniging preventieve logopedie, zaaknr 625630, 20201026 (te betrekken bij de behandeling van de begroting)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219"/>
      <w:r w:rsidRPr="00A448AC">
        <w:rPr>
          <w:rFonts w:ascii="Arial" w:hAnsi="Arial" w:cs="Arial"/>
          <w:b/>
          <w:bCs/>
          <w:color w:val="303F4C"/>
          <w:lang w:val="en-US"/>
        </w:rPr>
        <w:t>Brf PCO-Nieuwleusen, Voorgenomen bezuiniging preventieve logopedie, zaaknr 625630, 20201026 (te betrekken bij de behandeling van de begroting)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26-10-2020 14:23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Anders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PCO-Nieuwleusen, Voorgenomen bezuiniging preventieve logopedie, zaaknr 625630, 20201026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anders/Brf-PCO-Nieuwleusen-Voorgenomen-bezuiniging-preventieve-logopedie-zaaknr-625630-2020102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