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73" w:history="1">
        <w:r>
          <w:rPr>
            <w:rFonts w:ascii="Arial" w:hAnsi="Arial" w:eastAsia="Arial" w:cs="Arial"/>
            <w:color w:val="155CAA"/>
            <w:u w:val="single"/>
          </w:rPr>
          <w:t xml:space="preserve">1 Brf Veiligheidsregio IJsselland, Eerste Bestuursrapportage 2022, zaaknr 665053, 20220630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73"/>
      <w:r w:rsidRPr="00A448AC">
        <w:rPr>
          <w:rFonts w:ascii="Arial" w:hAnsi="Arial" w:cs="Arial"/>
          <w:b/>
          <w:bCs/>
          <w:color w:val="303F4C"/>
          <w:lang w:val="en-US"/>
        </w:rPr>
        <w:t>Brf Veiligheidsregio IJsselland, Eerste Bestuursrapportage 2022, zaaknr 665053, 20220630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 14:18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Veiligheidsregio IJsselland, Eerste Bestuursrapportage 2022, zaaknr 665053, 20220630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Brf-Veiligheidsregio-IJsselland-Eerste-Bestuursrapportage-2022-zaaknr-665053-2022063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