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59" w:history="1">
        <w:r>
          <w:rPr>
            <w:rFonts w:ascii="Arial" w:hAnsi="Arial" w:eastAsia="Arial" w:cs="Arial"/>
            <w:color w:val="155CAA"/>
            <w:u w:val="single"/>
          </w:rPr>
          <w:t xml:space="preserve">1 Brf GGD IJsselland, Jaarstukken 2021 incl. accountantsverklaring, zaaknr 663792, 20220616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59"/>
      <w:r w:rsidRPr="00A448AC">
        <w:rPr>
          <w:rFonts w:ascii="Arial" w:hAnsi="Arial" w:cs="Arial"/>
          <w:b/>
          <w:bCs/>
          <w:color w:val="303F4C"/>
          <w:lang w:val="en-US"/>
        </w:rPr>
        <w:t>Brf GGD IJsselland, Jaarstukken 2021 incl. accountantsverklaring, zaaknr 663792, 20220616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14:19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GGD IJsselland, Jaarstukken 2021 incl. accountantsverklaring, zaaknr 663792, 20220616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GGD-IJsselland-Jaarstukken-2021-incl-accountantsverklaring-zaaknr-663792-202206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