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79" w:history="1">
        <w:r>
          <w:rPr>
            <w:rFonts w:ascii="Arial" w:hAnsi="Arial" w:eastAsia="Arial" w:cs="Arial"/>
            <w:color w:val="155CAA"/>
            <w:u w:val="single"/>
          </w:rPr>
          <w:t xml:space="preserve">1 Brf Sportvisserij Oost-Nederland, Regionale Energie Strategie, zaaknr 619441, 20200602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79"/>
      <w:r w:rsidRPr="00A448AC">
        <w:rPr>
          <w:rFonts w:ascii="Arial" w:hAnsi="Arial" w:cs="Arial"/>
          <w:b/>
          <w:bCs/>
          <w:color w:val="303F4C"/>
          <w:lang w:val="en-US"/>
        </w:rPr>
        <w:t>Brf Sportvisserij Oost-Nederland, Regionale Energie Strategie, zaaknr 619441, 20200602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21-07-2020 10:07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Sportvisserij Oost-Nederland, Regionale Energie Strategie, zaaknr 619441, 20200602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ter-afdoening-in-handen-van-het-college-stellen/Brf-Sportvisserij-Oost-Nederland-Regionale-Energie-Strategie-zaaknr-619441-2020060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