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05:54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1393" w:history="1">
        <w:r>
          <w:rPr>
            <w:rFonts w:ascii="Arial" w:hAnsi="Arial" w:eastAsia="Arial" w:cs="Arial"/>
            <w:color w:val="155CAA"/>
            <w:u w:val="single"/>
          </w:rPr>
          <w:t xml:space="preserve">1 Raad 26 okt 2015 - Ingekomen stuk, Raadslid.nu, Toepassing HR21 functieprofielen griffier, nr 29421-33093, 20151015 (in handen van de werkgeverscommissie stellen)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1393"/>
      <w:r w:rsidRPr="00A448AC">
        <w:rPr>
          <w:rFonts w:ascii="Arial" w:hAnsi="Arial" w:cs="Arial"/>
          <w:b/>
          <w:bCs/>
          <w:color w:val="303F4C"/>
          <w:lang w:val="en-US"/>
        </w:rPr>
        <w:t>Raad 26 okt 2015 - Ingekomen stuk, Raadslid.nu, Toepassing HR21 functieprofielen griffier, nr 29421-33093, 20151015 (in handen van de werkgeverscommissie stellen)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27-10-2015 11:37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Anders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 26 okt 2015 - Ingekomen stuk, Raadslid.nu, Toepassing HR21 functieprofielen griffier, nr 29421-33093, 20151015.pdf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15-10-2015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215,32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anders/Raad-26-okt-2015-Ingekomen-stuk-Raadslid-nu-Toepassing-HR21-functieprofielen-griffier-nr-29421-33093-20151015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