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13:20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852" w:history="1">
        <w:r>
          <w:rPr>
            <w:rFonts w:ascii="Arial" w:hAnsi="Arial" w:eastAsia="Arial" w:cs="Arial"/>
            <w:color w:val="155CAA"/>
            <w:u w:val="single"/>
          </w:rPr>
          <w:t xml:space="preserve">1 Lbr VNG, 19-009, Geschillenregeling Cao gemeenten, zaaknr 598409, 20190307 (in handen van de werkgeverscommissie gesteld)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852"/>
      <w:r w:rsidRPr="00A448AC">
        <w:rPr>
          <w:rFonts w:ascii="Arial" w:hAnsi="Arial" w:cs="Arial"/>
          <w:b/>
          <w:bCs/>
          <w:color w:val="303F4C"/>
          <w:lang w:val="en-US"/>
        </w:rPr>
        <w:t>Lbr VNG, 19-009, Geschillenregeling Cao gemeenten, zaaknr 598409, 20190307 (in handen van de werkgeverscommissie gesteld)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26-03-2019 12:06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Anders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VNG, 19-009, Geschillenregeling Cao gemeenten, zaaknr 598409, 20190307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142,93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anders/Lbr-VNG-19-009-Geschillenregeling-Cao-gemeenten-zaaknr-598409-20190307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